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813D" w14:textId="77777777" w:rsidR="00C217D7" w:rsidRDefault="00C217D7" w:rsidP="00C217D7">
      <w:pPr>
        <w:jc w:val="center"/>
        <w:rPr>
          <w:sz w:val="28"/>
          <w:szCs w:val="28"/>
          <w:lang w:val="en-US"/>
        </w:rPr>
      </w:pPr>
      <w:r w:rsidRPr="00BB35C1">
        <w:rPr>
          <w:sz w:val="28"/>
          <w:szCs w:val="28"/>
          <w:lang w:val="en-US"/>
        </w:rPr>
        <w:t>The Department of Educational Studies</w:t>
      </w:r>
      <w:r>
        <w:rPr>
          <w:sz w:val="28"/>
          <w:szCs w:val="28"/>
          <w:lang w:val="en-US"/>
        </w:rPr>
        <w:t xml:space="preserve"> </w:t>
      </w:r>
    </w:p>
    <w:p w14:paraId="21CFCB1E" w14:textId="77777777" w:rsidR="00C217D7" w:rsidRDefault="00C217D7" w:rsidP="00C217D7">
      <w:pPr>
        <w:jc w:val="center"/>
        <w:rPr>
          <w:sz w:val="28"/>
          <w:szCs w:val="28"/>
          <w:lang w:val="en-US"/>
        </w:rPr>
      </w:pPr>
    </w:p>
    <w:p w14:paraId="3BAFFC17" w14:textId="6F063469" w:rsidR="00C217D7" w:rsidRPr="00BB35C1" w:rsidRDefault="00904269" w:rsidP="00C217D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Approved at the</w:t>
      </w:r>
      <w:r w:rsidR="0067581C">
        <w:rPr>
          <w:sz w:val="28"/>
          <w:szCs w:val="28"/>
          <w:lang w:val="en-US"/>
        </w:rPr>
        <w:t xml:space="preserve"> EDST Meeting </w:t>
      </w:r>
      <w:r>
        <w:rPr>
          <w:sz w:val="28"/>
          <w:szCs w:val="28"/>
          <w:lang w:val="en-US"/>
        </w:rPr>
        <w:t xml:space="preserve">on </w:t>
      </w:r>
      <w:r w:rsidR="0055034A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20</w:t>
      </w:r>
      <w:r w:rsidRPr="00904269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</w:t>
      </w:r>
      <w:r w:rsidR="00AA7858">
        <w:rPr>
          <w:sz w:val="28"/>
          <w:szCs w:val="28"/>
          <w:lang w:val="en-US"/>
        </w:rPr>
        <w:t>February</w:t>
      </w:r>
      <w:r w:rsidR="0067581C">
        <w:rPr>
          <w:sz w:val="28"/>
          <w:szCs w:val="28"/>
          <w:lang w:val="en-US"/>
        </w:rPr>
        <w:t xml:space="preserve"> 2020</w:t>
      </w:r>
    </w:p>
    <w:p w14:paraId="6966CF0D" w14:textId="77777777" w:rsidR="00C217D7" w:rsidRDefault="00C217D7" w:rsidP="00C217D7">
      <w:pPr>
        <w:jc w:val="center"/>
        <w:rPr>
          <w:lang w:val="en-US"/>
        </w:rPr>
      </w:pPr>
    </w:p>
    <w:p w14:paraId="2822179E" w14:textId="153382AD" w:rsidR="00C217D7" w:rsidRDefault="00C217D7" w:rsidP="00C217D7">
      <w:pPr>
        <w:jc w:val="center"/>
        <w:rPr>
          <w:lang w:val="en-US"/>
        </w:rPr>
      </w:pPr>
      <w:r>
        <w:rPr>
          <w:lang w:val="en-US"/>
        </w:rPr>
        <w:t xml:space="preserve">Process to Guide </w:t>
      </w:r>
      <w:r w:rsidR="00870086">
        <w:rPr>
          <w:lang w:val="en-US"/>
        </w:rPr>
        <w:t>EDST’s</w:t>
      </w:r>
      <w:r>
        <w:rPr>
          <w:lang w:val="en-US"/>
        </w:rPr>
        <w:t xml:space="preserve"> Engagement with </w:t>
      </w:r>
      <w:r w:rsidR="0055420F">
        <w:rPr>
          <w:lang w:val="en-US"/>
        </w:rPr>
        <w:t>Off</w:t>
      </w:r>
      <w:r w:rsidR="00870086">
        <w:rPr>
          <w:lang w:val="en-US"/>
        </w:rPr>
        <w:t>-</w:t>
      </w:r>
      <w:r w:rsidR="0055420F">
        <w:rPr>
          <w:lang w:val="en-US"/>
        </w:rPr>
        <w:t>Campus MEd Programs</w:t>
      </w:r>
    </w:p>
    <w:p w14:paraId="34EE4BD7" w14:textId="77777777" w:rsidR="00C217D7" w:rsidRDefault="00C217D7" w:rsidP="00C217D7">
      <w:pPr>
        <w:rPr>
          <w:lang w:val="en-US"/>
        </w:rPr>
      </w:pPr>
    </w:p>
    <w:p w14:paraId="34E04A80" w14:textId="77777777" w:rsidR="00C217D7" w:rsidRPr="004724D7" w:rsidRDefault="00C217D7" w:rsidP="00C217D7">
      <w:pPr>
        <w:rPr>
          <w:b/>
          <w:i/>
          <w:lang w:val="en-US"/>
        </w:rPr>
      </w:pPr>
      <w:r w:rsidRPr="00EC1667">
        <w:rPr>
          <w:b/>
          <w:i/>
          <w:lang w:val="en-US"/>
        </w:rPr>
        <w:t>Introduction</w:t>
      </w:r>
    </w:p>
    <w:p w14:paraId="1B96F0B6" w14:textId="77777777" w:rsidR="00C217D7" w:rsidRPr="00151684" w:rsidRDefault="00C217D7" w:rsidP="00C217D7">
      <w:r>
        <w:rPr>
          <w:lang w:val="en-US"/>
        </w:rPr>
        <w:t>In addition to our on-campus pr</w:t>
      </w:r>
      <w:r w:rsidR="0055420F">
        <w:rPr>
          <w:lang w:val="en-US"/>
        </w:rPr>
        <w:t>ograms, EDST offers</w:t>
      </w:r>
      <w:r>
        <w:rPr>
          <w:lang w:val="en-US"/>
        </w:rPr>
        <w:t xml:space="preserve"> </w:t>
      </w:r>
      <w:r w:rsidR="0055420F">
        <w:rPr>
          <w:lang w:val="en-US"/>
        </w:rPr>
        <w:t xml:space="preserve">MEd </w:t>
      </w:r>
      <w:r>
        <w:rPr>
          <w:lang w:val="en-US"/>
        </w:rPr>
        <w:t>degree programs to off-campus constituencies with assistance</w:t>
      </w:r>
      <w:r w:rsidR="007A7CF2">
        <w:rPr>
          <w:lang w:val="en-US"/>
        </w:rPr>
        <w:t xml:space="preserve"> and support</w:t>
      </w:r>
      <w:r>
        <w:rPr>
          <w:lang w:val="en-US"/>
        </w:rPr>
        <w:t xml:space="preserve"> from the Professional Development and Community Engagement (PDCE) unit in the Faculty of Education.  Offering EDST </w:t>
      </w:r>
      <w:r w:rsidR="0055420F">
        <w:rPr>
          <w:lang w:val="en-US"/>
        </w:rPr>
        <w:t xml:space="preserve">MEd programs off campus </w:t>
      </w:r>
      <w:r>
        <w:rPr>
          <w:lang w:val="en-US"/>
        </w:rPr>
        <w:t xml:space="preserve">is a valuable way to meet the needs of learners for tailored programming and flexible learning hours, delivered in a variety of formats, including on-line, blended, and face to face instruction. </w:t>
      </w:r>
      <w:r w:rsidR="0055420F">
        <w:t>Off campus MEd program</w:t>
      </w:r>
      <w:r w:rsidR="00496208">
        <w:t>s</w:t>
      </w:r>
      <w:r w:rsidR="0055420F">
        <w:t xml:space="preserve"> also </w:t>
      </w:r>
      <w:r w:rsidRPr="003606E3">
        <w:t xml:space="preserve">have </w:t>
      </w:r>
      <w:r w:rsidR="0055420F">
        <w:t xml:space="preserve">workload, equity, and </w:t>
      </w:r>
      <w:r w:rsidRPr="003606E3">
        <w:t>cost con</w:t>
      </w:r>
      <w:r w:rsidR="007A7CF2">
        <w:t>siderations that must be taken into consideration</w:t>
      </w:r>
      <w:r w:rsidRPr="003606E3">
        <w:t>. Off-campus</w:t>
      </w:r>
      <w:r w:rsidR="0055420F">
        <w:t xml:space="preserve"> MEd programs </w:t>
      </w:r>
      <w:r w:rsidRPr="003606E3">
        <w:t>can draw students from campus programs, affecting our ability offer progra</w:t>
      </w:r>
      <w:r w:rsidR="004F75B4">
        <w:t>ms on campus. Off-campus programs</w:t>
      </w:r>
      <w:r w:rsidRPr="003606E3">
        <w:t xml:space="preserve"> </w:t>
      </w:r>
      <w:r>
        <w:t xml:space="preserve">also </w:t>
      </w:r>
      <w:r w:rsidRPr="003606E3">
        <w:t>draw on faculty and staff time</w:t>
      </w:r>
      <w:r w:rsidR="00496208">
        <w:t xml:space="preserve"> </w:t>
      </w:r>
      <w:r w:rsidR="00F13B92">
        <w:t xml:space="preserve">and can </w:t>
      </w:r>
      <w:r w:rsidR="0055420F">
        <w:t xml:space="preserve">potentially overburden some faculty members. Other important considerations include ensuring that commitments to </w:t>
      </w:r>
      <w:r w:rsidR="007A7CF2">
        <w:t>communities are fully understood</w:t>
      </w:r>
      <w:r w:rsidR="0055420F">
        <w:t xml:space="preserve"> and fulfilled and </w:t>
      </w:r>
      <w:r w:rsidR="007A7CF2">
        <w:t>that teaching in off campus program</w:t>
      </w:r>
      <w:r w:rsidR="00496208">
        <w:t>s</w:t>
      </w:r>
      <w:r w:rsidR="007A7CF2">
        <w:t xml:space="preserve"> is equitably distributed</w:t>
      </w:r>
      <w:r w:rsidR="0055420F">
        <w:t xml:space="preserve">. </w:t>
      </w:r>
    </w:p>
    <w:p w14:paraId="089D324A" w14:textId="77777777" w:rsidR="00C217D7" w:rsidRDefault="00C217D7" w:rsidP="00C217D7">
      <w:pPr>
        <w:rPr>
          <w:lang w:val="en-US"/>
        </w:rPr>
      </w:pPr>
    </w:p>
    <w:p w14:paraId="119EEEE4" w14:textId="1BE5C52C" w:rsidR="00C217D7" w:rsidRPr="004724D7" w:rsidRDefault="00C217D7" w:rsidP="00C217D7">
      <w:pPr>
        <w:rPr>
          <w:rFonts w:ascii="Times New Roman" w:eastAsia="Times New Roman" w:hAnsi="Times New Roman" w:cs="Times New Roman"/>
        </w:rPr>
      </w:pPr>
      <w:r w:rsidRPr="00151684">
        <w:rPr>
          <w:lang w:val="en-US"/>
        </w:rPr>
        <w:t xml:space="preserve">As </w:t>
      </w:r>
      <w:r w:rsidRPr="00151684">
        <w:rPr>
          <w:rFonts w:ascii="Calibri" w:eastAsia="Times New Roman" w:hAnsi="Calibri" w:cs="Times New Roman"/>
          <w:color w:val="000000"/>
        </w:rPr>
        <w:t xml:space="preserve">department-wide forms of engagement, </w:t>
      </w:r>
      <w:r w:rsidR="0055420F">
        <w:rPr>
          <w:rFonts w:ascii="Calibri" w:eastAsia="Times New Roman" w:hAnsi="Calibri" w:cs="Times New Roman"/>
          <w:color w:val="000000"/>
        </w:rPr>
        <w:t>off campus MEd programs r</w:t>
      </w:r>
      <w:r>
        <w:rPr>
          <w:rFonts w:ascii="Calibri" w:eastAsia="Times New Roman" w:hAnsi="Calibri" w:cs="Times New Roman"/>
          <w:color w:val="000000"/>
        </w:rPr>
        <w:t xml:space="preserve">equire </w:t>
      </w:r>
      <w:r w:rsidR="0055420F">
        <w:rPr>
          <w:rFonts w:ascii="Calibri" w:eastAsia="Times New Roman" w:hAnsi="Calibri" w:cs="Times New Roman"/>
          <w:color w:val="000000"/>
        </w:rPr>
        <w:t xml:space="preserve">transparent </w:t>
      </w:r>
      <w:r w:rsidRPr="00151684">
        <w:rPr>
          <w:rFonts w:ascii="Calibri" w:eastAsia="Times New Roman" w:hAnsi="Calibri" w:cs="Times New Roman"/>
          <w:color w:val="000000"/>
        </w:rPr>
        <w:t>decision</w:t>
      </w:r>
      <w:r>
        <w:rPr>
          <w:rFonts w:ascii="Calibri" w:eastAsia="Times New Roman" w:hAnsi="Calibri" w:cs="Times New Roman"/>
          <w:color w:val="000000"/>
        </w:rPr>
        <w:t xml:space="preserve">-making that includes </w:t>
      </w:r>
      <w:r w:rsidRPr="00151684">
        <w:rPr>
          <w:rFonts w:ascii="Calibri" w:eastAsia="Times New Roman" w:hAnsi="Calibri" w:cs="Times New Roman"/>
          <w:color w:val="000000"/>
        </w:rPr>
        <w:t xml:space="preserve">department-wide consultation. </w:t>
      </w:r>
      <w:r>
        <w:rPr>
          <w:lang w:val="en-US"/>
        </w:rPr>
        <w:t>This consultation helps to establish the fe</w:t>
      </w:r>
      <w:r w:rsidR="004F75B4">
        <w:rPr>
          <w:lang w:val="en-US"/>
        </w:rPr>
        <w:t>asibility of a</w:t>
      </w:r>
      <w:r w:rsidR="00496208">
        <w:rPr>
          <w:lang w:val="en-US"/>
        </w:rPr>
        <w:t xml:space="preserve">ny </w:t>
      </w:r>
      <w:r w:rsidR="00384E2E">
        <w:rPr>
          <w:lang w:val="en-US"/>
        </w:rPr>
        <w:t>off-campus</w:t>
      </w:r>
      <w:r w:rsidR="00496208">
        <w:rPr>
          <w:lang w:val="en-US"/>
        </w:rPr>
        <w:t xml:space="preserve"> program</w:t>
      </w:r>
      <w:r>
        <w:rPr>
          <w:lang w:val="en-US"/>
        </w:rPr>
        <w:t xml:space="preserve"> in relation to: 1) our educational mission, values, and strategic priorities; 2) to existing faculty commitments, interest, and expertise; 3) the educational aspirations of communities outside the university.</w:t>
      </w:r>
    </w:p>
    <w:p w14:paraId="193F688A" w14:textId="77777777" w:rsidR="00C217D7" w:rsidRDefault="00C217D7" w:rsidP="00C217D7">
      <w:pPr>
        <w:rPr>
          <w:lang w:val="en-US"/>
        </w:rPr>
      </w:pPr>
    </w:p>
    <w:p w14:paraId="309A2317" w14:textId="77777777" w:rsidR="00C217D7" w:rsidRDefault="00C217D7" w:rsidP="00C217D7">
      <w:pPr>
        <w:rPr>
          <w:b/>
          <w:i/>
          <w:lang w:val="en-US"/>
        </w:rPr>
      </w:pPr>
      <w:r w:rsidRPr="00EC1667">
        <w:rPr>
          <w:b/>
          <w:i/>
          <w:lang w:val="en-US"/>
        </w:rPr>
        <w:t xml:space="preserve">Process to Guide Engagement with </w:t>
      </w:r>
      <w:r w:rsidR="0055420F">
        <w:rPr>
          <w:b/>
          <w:i/>
          <w:lang w:val="en-US"/>
        </w:rPr>
        <w:t>Off Campus MEd programs</w:t>
      </w:r>
    </w:p>
    <w:p w14:paraId="24410299" w14:textId="77777777" w:rsidR="00C217D7" w:rsidRPr="00EC1667" w:rsidRDefault="00C217D7" w:rsidP="00C217D7">
      <w:pPr>
        <w:rPr>
          <w:b/>
          <w:i/>
          <w:lang w:val="en-US"/>
        </w:rPr>
      </w:pPr>
    </w:p>
    <w:p w14:paraId="62E8D995" w14:textId="77777777" w:rsidR="00F214AF" w:rsidRDefault="00C217D7" w:rsidP="00C217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Before planning has begun, faculty member(s) interes</w:t>
      </w:r>
      <w:r w:rsidR="0055420F">
        <w:rPr>
          <w:lang w:val="en-US"/>
        </w:rPr>
        <w:t>ted in proposing a new off campus MEd program s</w:t>
      </w:r>
      <w:r>
        <w:rPr>
          <w:lang w:val="en-US"/>
        </w:rPr>
        <w:t>hould discuss</w:t>
      </w:r>
      <w:r w:rsidR="00B829C0">
        <w:rPr>
          <w:lang w:val="en-US"/>
        </w:rPr>
        <w:t xml:space="preserve"> and consult</w:t>
      </w:r>
      <w:r>
        <w:rPr>
          <w:lang w:val="en-US"/>
        </w:rPr>
        <w:t xml:space="preserve"> </w:t>
      </w:r>
      <w:r w:rsidR="00F214AF">
        <w:rPr>
          <w:lang w:val="en-US"/>
        </w:rPr>
        <w:t xml:space="preserve">about </w:t>
      </w:r>
      <w:r>
        <w:rPr>
          <w:lang w:val="en-US"/>
        </w:rPr>
        <w:t xml:space="preserve">its feasibility </w:t>
      </w:r>
      <w:r w:rsidR="00B829C0">
        <w:rPr>
          <w:lang w:val="en-US"/>
        </w:rPr>
        <w:t>with their respective communities of reference and with colleagues across EDST</w:t>
      </w:r>
      <w:r w:rsidR="00F214AF">
        <w:rPr>
          <w:lang w:val="en-US"/>
        </w:rPr>
        <w:t>, as well as with other units on campus which may have a stake in the contemplated program</w:t>
      </w:r>
      <w:r w:rsidR="00B829C0">
        <w:rPr>
          <w:lang w:val="en-US"/>
        </w:rPr>
        <w:t xml:space="preserve">. </w:t>
      </w:r>
    </w:p>
    <w:p w14:paraId="6D0D67DE" w14:textId="5E6886AE" w:rsidR="00C217D7" w:rsidRPr="0055420F" w:rsidRDefault="00B829C0" w:rsidP="00C217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Once consultations have been completed, </w:t>
      </w:r>
      <w:r w:rsidR="00F214AF">
        <w:rPr>
          <w:lang w:val="en-US"/>
        </w:rPr>
        <w:t xml:space="preserve">and all details gathered, </w:t>
      </w:r>
      <w:r>
        <w:rPr>
          <w:lang w:val="en-US"/>
        </w:rPr>
        <w:t xml:space="preserve">the </w:t>
      </w:r>
      <w:r w:rsidR="00F214AF">
        <w:rPr>
          <w:lang w:val="en-US"/>
        </w:rPr>
        <w:t xml:space="preserve">group of </w:t>
      </w:r>
      <w:r>
        <w:rPr>
          <w:lang w:val="en-US"/>
        </w:rPr>
        <w:t xml:space="preserve">interested faculty members should discuss </w:t>
      </w:r>
      <w:r w:rsidR="00A0380F">
        <w:rPr>
          <w:lang w:val="en-US"/>
        </w:rPr>
        <w:t xml:space="preserve">and consult </w:t>
      </w:r>
      <w:r w:rsidR="00C217D7">
        <w:rPr>
          <w:lang w:val="en-US"/>
        </w:rPr>
        <w:t xml:space="preserve">with the Deputy Head. </w:t>
      </w:r>
      <w:r w:rsidR="00A0380F">
        <w:rPr>
          <w:lang w:val="en-US"/>
        </w:rPr>
        <w:t>T</w:t>
      </w:r>
      <w:r w:rsidR="00F214AF">
        <w:rPr>
          <w:lang w:val="en-US"/>
        </w:rPr>
        <w:t>he Deputy Head</w:t>
      </w:r>
      <w:r w:rsidR="00C217D7">
        <w:rPr>
          <w:lang w:val="en-US"/>
        </w:rPr>
        <w:t xml:space="preserve"> </w:t>
      </w:r>
      <w:r w:rsidR="00C217D7">
        <w:rPr>
          <w:rFonts w:eastAsia="Times New Roman" w:cs="Times New Roman"/>
          <w:color w:val="000000"/>
        </w:rPr>
        <w:t xml:space="preserve">will </w:t>
      </w:r>
      <w:r w:rsidR="00C217D7" w:rsidRPr="00151684">
        <w:rPr>
          <w:rFonts w:eastAsia="Times New Roman" w:cs="Times New Roman"/>
          <w:color w:val="000000"/>
        </w:rPr>
        <w:t>serve as the contact person (coordinator) for all activities pertaining to </w:t>
      </w:r>
      <w:r w:rsidR="00C217D7">
        <w:rPr>
          <w:rFonts w:eastAsia="Times New Roman" w:cs="Times New Roman"/>
          <w:color w:val="000000"/>
        </w:rPr>
        <w:t xml:space="preserve">the approval of </w:t>
      </w:r>
      <w:r w:rsidR="00F214AF">
        <w:rPr>
          <w:rFonts w:eastAsia="Times New Roman" w:cs="Times New Roman"/>
          <w:color w:val="000000"/>
        </w:rPr>
        <w:t xml:space="preserve">all </w:t>
      </w:r>
      <w:r w:rsidR="00C217D7">
        <w:rPr>
          <w:rFonts w:eastAsia="Times New Roman" w:cs="Times New Roman"/>
          <w:color w:val="000000"/>
        </w:rPr>
        <w:t xml:space="preserve">new </w:t>
      </w:r>
      <w:r w:rsidR="0055420F">
        <w:rPr>
          <w:rFonts w:eastAsia="Times New Roman" w:cs="Times New Roman"/>
          <w:color w:val="000000"/>
        </w:rPr>
        <w:t xml:space="preserve">off campus MEd </w:t>
      </w:r>
      <w:r w:rsidR="004F75B4">
        <w:rPr>
          <w:rFonts w:eastAsia="Times New Roman" w:cs="Times New Roman"/>
          <w:color w:val="000000"/>
        </w:rPr>
        <w:t xml:space="preserve">programs. </w:t>
      </w:r>
    </w:p>
    <w:p w14:paraId="3656AA02" w14:textId="2E06E893" w:rsidR="0055420F" w:rsidRDefault="00A0380F" w:rsidP="00C217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group of interested f</w:t>
      </w:r>
      <w:r w:rsidR="007A7CF2">
        <w:rPr>
          <w:lang w:val="en-US"/>
        </w:rPr>
        <w:t>aculty members then fill</w:t>
      </w:r>
      <w:r>
        <w:rPr>
          <w:lang w:val="en-US"/>
        </w:rPr>
        <w:t>s</w:t>
      </w:r>
      <w:r w:rsidR="007A7CF2">
        <w:rPr>
          <w:lang w:val="en-US"/>
        </w:rPr>
        <w:t xml:space="preserve"> out</w:t>
      </w:r>
      <w:r w:rsidR="004F75B4">
        <w:rPr>
          <w:lang w:val="en-US"/>
        </w:rPr>
        <w:t xml:space="preserve"> the EDST Off Campus MEd Program </w:t>
      </w:r>
      <w:r w:rsidR="007A7CF2">
        <w:rPr>
          <w:lang w:val="en-US"/>
        </w:rPr>
        <w:t>Application form and provide a copy to the Deputy Head</w:t>
      </w:r>
      <w:r>
        <w:rPr>
          <w:lang w:val="en-US"/>
        </w:rPr>
        <w:t>.</w:t>
      </w:r>
      <w:r w:rsidR="007A7CF2">
        <w:rPr>
          <w:lang w:val="en-US"/>
        </w:rPr>
        <w:t xml:space="preserve"> </w:t>
      </w:r>
    </w:p>
    <w:p w14:paraId="35C4DA08" w14:textId="77777777" w:rsidR="00C217D7" w:rsidRPr="00151684" w:rsidRDefault="00C217D7" w:rsidP="00C217D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The D</w:t>
      </w:r>
      <w:r w:rsidRPr="00151684">
        <w:rPr>
          <w:rFonts w:eastAsia="Times New Roman" w:cs="Times New Roman"/>
          <w:color w:val="000000"/>
        </w:rPr>
        <w:t xml:space="preserve">eputy </w:t>
      </w:r>
      <w:r>
        <w:rPr>
          <w:rFonts w:eastAsia="Times New Roman" w:cs="Times New Roman"/>
          <w:color w:val="000000"/>
        </w:rPr>
        <w:t>H</w:t>
      </w:r>
      <w:r w:rsidRPr="00151684">
        <w:rPr>
          <w:rFonts w:eastAsia="Times New Roman" w:cs="Times New Roman"/>
          <w:color w:val="000000"/>
        </w:rPr>
        <w:t>ead</w:t>
      </w:r>
      <w:r>
        <w:rPr>
          <w:rFonts w:eastAsia="Times New Roman" w:cs="Times New Roman"/>
          <w:color w:val="000000"/>
        </w:rPr>
        <w:t xml:space="preserve"> will seek consultation </w:t>
      </w:r>
      <w:r w:rsidR="007A7CF2">
        <w:rPr>
          <w:rFonts w:eastAsia="Times New Roman" w:cs="Times New Roman"/>
          <w:color w:val="000000"/>
        </w:rPr>
        <w:t xml:space="preserve">regarding the application </w:t>
      </w:r>
      <w:r>
        <w:rPr>
          <w:rFonts w:eastAsia="Times New Roman" w:cs="Times New Roman"/>
          <w:color w:val="000000"/>
        </w:rPr>
        <w:t>first with the Head’s Advisory Committee (HAC)</w:t>
      </w:r>
      <w:r w:rsidR="00061C3C">
        <w:rPr>
          <w:rFonts w:eastAsia="Times New Roman" w:cs="Times New Roman"/>
          <w:color w:val="000000"/>
        </w:rPr>
        <w:t>.</w:t>
      </w:r>
    </w:p>
    <w:p w14:paraId="5BED2D6F" w14:textId="77777777" w:rsidR="00C217D7" w:rsidRDefault="007A7CF2" w:rsidP="00C217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Following HAC consultation</w:t>
      </w:r>
      <w:r w:rsidR="00C217D7">
        <w:rPr>
          <w:lang w:val="en-US"/>
        </w:rPr>
        <w:t xml:space="preserve">, proposals </w:t>
      </w:r>
      <w:r>
        <w:rPr>
          <w:lang w:val="en-US"/>
        </w:rPr>
        <w:t xml:space="preserve">are </w:t>
      </w:r>
      <w:r w:rsidR="00C217D7">
        <w:rPr>
          <w:lang w:val="en-US"/>
        </w:rPr>
        <w:t xml:space="preserve">discussed at GPACC in order to ensure broad consultation at the planning stages. </w:t>
      </w:r>
    </w:p>
    <w:p w14:paraId="34F4F4EF" w14:textId="5D1E9DA3" w:rsidR="00C217D7" w:rsidRDefault="00C217D7" w:rsidP="00C217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Finally, proposals discussed at the HAC and GPACC will be presented at a plenary of the Department, </w:t>
      </w:r>
      <w:r w:rsidR="00384E2E">
        <w:rPr>
          <w:lang w:val="en-US"/>
        </w:rPr>
        <w:t>e.g.</w:t>
      </w:r>
      <w:r>
        <w:rPr>
          <w:lang w:val="en-US"/>
        </w:rPr>
        <w:t xml:space="preserve"> at a monthly Department meeting. Proposals should be presented by the faculty member taking the lead on the </w:t>
      </w:r>
      <w:r w:rsidR="00384E2E">
        <w:rPr>
          <w:lang w:val="en-US"/>
        </w:rPr>
        <w:t>off-campus</w:t>
      </w:r>
      <w:r w:rsidR="00496208">
        <w:rPr>
          <w:lang w:val="en-US"/>
        </w:rPr>
        <w:t xml:space="preserve"> MEd</w:t>
      </w:r>
      <w:r w:rsidR="007A7CF2">
        <w:rPr>
          <w:lang w:val="en-US"/>
        </w:rPr>
        <w:t xml:space="preserve"> </w:t>
      </w:r>
      <w:r w:rsidR="004F75B4">
        <w:rPr>
          <w:lang w:val="en-US"/>
        </w:rPr>
        <w:t xml:space="preserve">program. </w:t>
      </w:r>
      <w:r>
        <w:rPr>
          <w:lang w:val="en-US"/>
        </w:rPr>
        <w:t xml:space="preserve">  </w:t>
      </w:r>
    </w:p>
    <w:p w14:paraId="34654719" w14:textId="77777777" w:rsidR="00C217D7" w:rsidRDefault="00C217D7" w:rsidP="00C217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new </w:t>
      </w:r>
      <w:r w:rsidR="007A7CF2">
        <w:rPr>
          <w:lang w:val="en-US"/>
        </w:rPr>
        <w:t>off campus ME</w:t>
      </w:r>
      <w:r w:rsidR="00061C3C">
        <w:rPr>
          <w:lang w:val="en-US"/>
        </w:rPr>
        <w:t>d programs</w:t>
      </w:r>
      <w:r>
        <w:rPr>
          <w:lang w:val="en-US"/>
        </w:rPr>
        <w:t xml:space="preserve"> are approved after Departmental consultation, the faculty member then pursues discussions with PDCE (as a support and logistic unit) regarding scheduling and support, keeping the Deputy Head appraised of developments. </w:t>
      </w:r>
    </w:p>
    <w:p w14:paraId="2C654E7E" w14:textId="35E120DD" w:rsidR="00C217D7" w:rsidRPr="00D64723" w:rsidRDefault="00C217D7" w:rsidP="00C217D7">
      <w:pPr>
        <w:pStyle w:val="ListParagraph"/>
        <w:numPr>
          <w:ilvl w:val="0"/>
          <w:numId w:val="1"/>
        </w:numPr>
      </w:pPr>
      <w:r>
        <w:rPr>
          <w:lang w:val="en-US"/>
        </w:rPr>
        <w:t>Before approval for course relea</w:t>
      </w:r>
      <w:r w:rsidR="004F75B4">
        <w:rPr>
          <w:lang w:val="en-US"/>
        </w:rPr>
        <w:t xml:space="preserve">se for off-campus MEd program </w:t>
      </w:r>
      <w:r w:rsidR="007A7CF2">
        <w:rPr>
          <w:lang w:val="en-US"/>
        </w:rPr>
        <w:t xml:space="preserve">advisors is given and appropriate workloads are in place for those teaching in the proposed program, </w:t>
      </w:r>
      <w:r>
        <w:rPr>
          <w:lang w:val="en-US"/>
        </w:rPr>
        <w:t xml:space="preserve">the Deputy Head should ensure that </w:t>
      </w:r>
      <w:r w:rsidRPr="00C92034">
        <w:t>other teaching commitments in the dept/program area</w:t>
      </w:r>
      <w:r>
        <w:t xml:space="preserve"> (</w:t>
      </w:r>
      <w:r w:rsidR="00384E2E">
        <w:t>e.g.</w:t>
      </w:r>
      <w:r>
        <w:t xml:space="preserve"> core courses, needs in cross departmental programs, undergraduate commitments) are met. </w:t>
      </w:r>
      <w:r w:rsidRPr="00C92034">
        <w:t xml:space="preserve"> </w:t>
      </w:r>
      <w:r w:rsidR="004F75B4" w:rsidRPr="00D64723">
        <w:t xml:space="preserve">Typically, </w:t>
      </w:r>
      <w:r w:rsidR="0051037B" w:rsidRPr="00D64723">
        <w:t xml:space="preserve">off-campus program </w:t>
      </w:r>
      <w:r w:rsidRPr="00D64723">
        <w:t>advisors receive no more than</w:t>
      </w:r>
      <w:r w:rsidR="0051037B" w:rsidRPr="00D64723">
        <w:t xml:space="preserve"> 6 credits (3 credits per each program year) for </w:t>
      </w:r>
      <w:r w:rsidRPr="00D64723">
        <w:t>advising</w:t>
      </w:r>
      <w:r w:rsidR="00342835" w:rsidRPr="00D64723">
        <w:t xml:space="preserve"> and coordination</w:t>
      </w:r>
      <w:r w:rsidRPr="00D64723">
        <w:t xml:space="preserve"> involvement in any given </w:t>
      </w:r>
      <w:r w:rsidR="004F75B4" w:rsidRPr="00D64723">
        <w:t>off campus MEd program.</w:t>
      </w:r>
      <w:r w:rsidR="0051037B" w:rsidRPr="00D64723">
        <w:t xml:space="preserve"> Advisors may also teach in an off-campus program over and above these 6 credits, subject to program requirements. These teaching credits will count towards the advisor’s teaching load. </w:t>
      </w:r>
    </w:p>
    <w:p w14:paraId="45810B65" w14:textId="77777777" w:rsidR="00083480" w:rsidRDefault="00083480" w:rsidP="00083480"/>
    <w:p w14:paraId="029EF072" w14:textId="77777777" w:rsidR="00083480" w:rsidRDefault="00083480">
      <w:r>
        <w:br w:type="page"/>
      </w:r>
    </w:p>
    <w:p w14:paraId="267AF538" w14:textId="77777777" w:rsidR="00083480" w:rsidRDefault="00083480" w:rsidP="00083480">
      <w:pPr>
        <w:spacing w:after="120"/>
        <w:jc w:val="center"/>
        <w:rPr>
          <w:rFonts w:cstheme="minorHAnsi"/>
          <w:b/>
          <w:sz w:val="28"/>
          <w:szCs w:val="28"/>
        </w:rPr>
      </w:pPr>
      <w:r w:rsidRPr="00BF1F3A">
        <w:rPr>
          <w:rFonts w:cstheme="minorHAnsi"/>
          <w:b/>
          <w:sz w:val="28"/>
          <w:szCs w:val="28"/>
        </w:rPr>
        <w:lastRenderedPageBreak/>
        <w:t>Department of Educational Studies</w:t>
      </w:r>
    </w:p>
    <w:p w14:paraId="561E3AD7" w14:textId="77777777" w:rsidR="00083480" w:rsidRPr="00BF1F3A" w:rsidRDefault="00083480" w:rsidP="00083480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(Draft, November 15, 2019)</w:t>
      </w:r>
    </w:p>
    <w:p w14:paraId="60C41E40" w14:textId="37923FBB" w:rsidR="00083480" w:rsidRPr="00BE25D5" w:rsidRDefault="004F75B4" w:rsidP="00083480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Off</w:t>
      </w:r>
      <w:r w:rsidR="00384E2E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>Campus MEd Program</w:t>
      </w:r>
      <w:r w:rsidR="00083480" w:rsidRPr="00BE25D5">
        <w:rPr>
          <w:rFonts w:cstheme="minorHAnsi"/>
          <w:b/>
          <w:sz w:val="28"/>
          <w:szCs w:val="28"/>
        </w:rPr>
        <w:t xml:space="preserve"> Proposal</w:t>
      </w:r>
    </w:p>
    <w:p w14:paraId="5EC9566A" w14:textId="77777777" w:rsidR="00083480" w:rsidRPr="00BF1F3A" w:rsidRDefault="00083480" w:rsidP="00083480">
      <w:pPr>
        <w:spacing w:after="120"/>
        <w:rPr>
          <w:rFonts w:cstheme="minorHAnsi"/>
          <w:b/>
        </w:rPr>
      </w:pPr>
    </w:p>
    <w:p w14:paraId="1DE45AA5" w14:textId="68A30758" w:rsidR="00A0380F" w:rsidRDefault="00083480" w:rsidP="00904269">
      <w:pPr>
        <w:spacing w:after="120"/>
        <w:rPr>
          <w:rFonts w:cstheme="minorHAnsi"/>
          <w:b/>
        </w:rPr>
      </w:pPr>
      <w:r w:rsidRPr="00BF1F3A">
        <w:rPr>
          <w:rFonts w:cstheme="minorHAnsi"/>
          <w:b/>
        </w:rPr>
        <w:t xml:space="preserve">1.  </w:t>
      </w:r>
      <w:r w:rsidR="004F75B4">
        <w:rPr>
          <w:rFonts w:cstheme="minorHAnsi"/>
          <w:b/>
        </w:rPr>
        <w:t>Name of off</w:t>
      </w:r>
      <w:r w:rsidR="003315E9">
        <w:rPr>
          <w:rFonts w:cstheme="minorHAnsi"/>
          <w:b/>
        </w:rPr>
        <w:t>-</w:t>
      </w:r>
      <w:r w:rsidR="004F75B4">
        <w:rPr>
          <w:rFonts w:cstheme="minorHAnsi"/>
          <w:b/>
        </w:rPr>
        <w:t>campus MEd program</w:t>
      </w:r>
      <w:r>
        <w:rPr>
          <w:rFonts w:cstheme="minorHAnsi"/>
          <w:b/>
        </w:rPr>
        <w:t xml:space="preserve"> </w:t>
      </w:r>
      <w:r w:rsidR="00496208">
        <w:rPr>
          <w:rFonts w:cstheme="minorHAnsi"/>
          <w:b/>
        </w:rPr>
        <w:t xml:space="preserve">(hereafter “program”) </w:t>
      </w:r>
      <w:r>
        <w:rPr>
          <w:rFonts w:cstheme="minorHAnsi"/>
          <w:b/>
        </w:rPr>
        <w:t>and Delivery mode (</w:t>
      </w:r>
      <w:r w:rsidR="00384E2E">
        <w:rPr>
          <w:rFonts w:cstheme="minorHAnsi"/>
          <w:b/>
        </w:rPr>
        <w:t>e.g.</w:t>
      </w:r>
      <w:r>
        <w:rPr>
          <w:rFonts w:cstheme="minorHAnsi"/>
          <w:b/>
        </w:rPr>
        <w:t xml:space="preserve"> online, face-to-face, blended)</w:t>
      </w:r>
      <w:r w:rsidR="003315E9">
        <w:rPr>
          <w:rFonts w:cstheme="minorHAnsi"/>
          <w:b/>
        </w:rPr>
        <w:t>. Indicate the n</w:t>
      </w:r>
      <w:r w:rsidR="00A0380F">
        <w:rPr>
          <w:rFonts w:cstheme="minorHAnsi"/>
          <w:b/>
        </w:rPr>
        <w:t xml:space="preserve">ame of </w:t>
      </w:r>
      <w:proofErr w:type="spellStart"/>
      <w:r w:rsidR="00A0380F">
        <w:rPr>
          <w:rFonts w:cstheme="minorHAnsi"/>
          <w:b/>
        </w:rPr>
        <w:t>of</w:t>
      </w:r>
      <w:proofErr w:type="spellEnd"/>
      <w:r w:rsidR="00A0380F">
        <w:rPr>
          <w:rFonts w:cstheme="minorHAnsi"/>
          <w:b/>
        </w:rPr>
        <w:t xml:space="preserve"> </w:t>
      </w:r>
      <w:r w:rsidR="009E1344">
        <w:rPr>
          <w:rFonts w:cstheme="minorHAnsi"/>
          <w:b/>
        </w:rPr>
        <w:t xml:space="preserve">EDST </w:t>
      </w:r>
      <w:r w:rsidR="00A0380F">
        <w:rPr>
          <w:rFonts w:cstheme="minorHAnsi"/>
          <w:b/>
        </w:rPr>
        <w:t>Graduate Program</w:t>
      </w:r>
      <w:r w:rsidR="009E1344">
        <w:rPr>
          <w:rFonts w:cstheme="minorHAnsi"/>
          <w:b/>
        </w:rPr>
        <w:t xml:space="preserve"> as part of which </w:t>
      </w:r>
      <w:r w:rsidR="00A0380F">
        <w:rPr>
          <w:rFonts w:cstheme="minorHAnsi"/>
          <w:b/>
        </w:rPr>
        <w:t>the program</w:t>
      </w:r>
      <w:r w:rsidR="009E1344">
        <w:rPr>
          <w:rFonts w:cstheme="minorHAnsi"/>
          <w:b/>
        </w:rPr>
        <w:t xml:space="preserve"> will be offered</w:t>
      </w:r>
      <w:r w:rsidR="00904269">
        <w:rPr>
          <w:rFonts w:cstheme="minorHAnsi"/>
          <w:b/>
        </w:rPr>
        <w:t>.</w:t>
      </w:r>
    </w:p>
    <w:p w14:paraId="2D653DC1" w14:textId="1FFEE178" w:rsidR="00904269" w:rsidRDefault="00904269" w:rsidP="00904269">
      <w:pPr>
        <w:spacing w:after="120"/>
        <w:rPr>
          <w:rFonts w:cstheme="minorHAnsi"/>
          <w:b/>
        </w:rPr>
      </w:pPr>
      <w:bookmarkStart w:id="0" w:name="_GoBack"/>
      <w:bookmarkEnd w:id="0"/>
    </w:p>
    <w:p w14:paraId="101C6F98" w14:textId="77777777" w:rsidR="00904269" w:rsidRDefault="00904269" w:rsidP="00904269">
      <w:pPr>
        <w:spacing w:after="120"/>
        <w:rPr>
          <w:rFonts w:cstheme="minorHAnsi"/>
          <w:b/>
        </w:rPr>
      </w:pPr>
    </w:p>
    <w:p w14:paraId="31BDE1FE" w14:textId="1950F43B" w:rsidR="00083480" w:rsidRPr="00904269" w:rsidRDefault="004F75B4" w:rsidP="00904269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2.  Program </w:t>
      </w:r>
      <w:r w:rsidR="00083480" w:rsidRPr="00BF1F3A">
        <w:rPr>
          <w:rFonts w:cstheme="minorHAnsi"/>
          <w:b/>
        </w:rPr>
        <w:t>Theme</w:t>
      </w:r>
      <w:r w:rsidR="00904269">
        <w:rPr>
          <w:rFonts w:cstheme="minorHAnsi"/>
          <w:b/>
        </w:rPr>
        <w:t>.</w:t>
      </w:r>
    </w:p>
    <w:p w14:paraId="4780B998" w14:textId="2DF1DA22" w:rsidR="00904269" w:rsidRDefault="00904269" w:rsidP="00904269">
      <w:pPr>
        <w:spacing w:after="120"/>
        <w:rPr>
          <w:rFonts w:cstheme="minorHAnsi"/>
          <w:b/>
        </w:rPr>
      </w:pPr>
    </w:p>
    <w:p w14:paraId="324A21DE" w14:textId="77777777" w:rsidR="00904269" w:rsidRDefault="00904269" w:rsidP="00904269">
      <w:pPr>
        <w:spacing w:after="120"/>
        <w:rPr>
          <w:rFonts w:cstheme="minorHAnsi"/>
          <w:b/>
        </w:rPr>
      </w:pPr>
    </w:p>
    <w:p w14:paraId="2452FF6D" w14:textId="014ECFA6" w:rsidR="00083480" w:rsidRPr="00904269" w:rsidRDefault="00083480" w:rsidP="00904269">
      <w:pPr>
        <w:spacing w:after="120"/>
        <w:rPr>
          <w:rFonts w:cstheme="minorHAnsi"/>
          <w:b/>
        </w:rPr>
      </w:pPr>
      <w:r w:rsidRPr="00BF1F3A">
        <w:rPr>
          <w:rFonts w:cstheme="minorHAnsi"/>
          <w:b/>
        </w:rPr>
        <w:t xml:space="preserve">3.  </w:t>
      </w:r>
      <w:r>
        <w:rPr>
          <w:rFonts w:cstheme="minorHAnsi"/>
          <w:b/>
        </w:rPr>
        <w:t>R</w:t>
      </w:r>
      <w:r w:rsidR="004F75B4">
        <w:rPr>
          <w:rFonts w:cstheme="minorHAnsi"/>
          <w:b/>
        </w:rPr>
        <w:t>ationale for the program</w:t>
      </w:r>
      <w:r w:rsidR="00904269">
        <w:rPr>
          <w:rFonts w:cstheme="minorHAnsi"/>
          <w:b/>
        </w:rPr>
        <w:t>.</w:t>
      </w:r>
    </w:p>
    <w:p w14:paraId="7381869C" w14:textId="6102217B" w:rsidR="00904269" w:rsidRDefault="00904269" w:rsidP="00904269">
      <w:pPr>
        <w:spacing w:after="120"/>
        <w:rPr>
          <w:rFonts w:cstheme="minorHAnsi"/>
          <w:b/>
        </w:rPr>
      </w:pPr>
    </w:p>
    <w:p w14:paraId="29CB51BD" w14:textId="77777777" w:rsidR="00904269" w:rsidRDefault="00904269" w:rsidP="00904269">
      <w:pPr>
        <w:spacing w:after="120"/>
        <w:rPr>
          <w:rFonts w:cstheme="minorHAnsi"/>
          <w:b/>
        </w:rPr>
      </w:pPr>
    </w:p>
    <w:p w14:paraId="04497CAB" w14:textId="305CCF18" w:rsidR="00083480" w:rsidRPr="00BF1F3A" w:rsidRDefault="00F13B92" w:rsidP="00904269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4</w:t>
      </w:r>
      <w:r w:rsidR="004F75B4">
        <w:rPr>
          <w:rFonts w:cstheme="minorHAnsi"/>
          <w:b/>
        </w:rPr>
        <w:t>.  Coordinator(s) of the program</w:t>
      </w:r>
      <w:r w:rsidR="00904269">
        <w:rPr>
          <w:rFonts w:cstheme="minorHAnsi"/>
          <w:b/>
        </w:rPr>
        <w:t>.</w:t>
      </w:r>
    </w:p>
    <w:p w14:paraId="26F24862" w14:textId="780B8245" w:rsidR="00904269" w:rsidRDefault="00904269" w:rsidP="00904269">
      <w:pPr>
        <w:spacing w:after="120"/>
        <w:rPr>
          <w:rFonts w:cstheme="minorHAnsi"/>
          <w:b/>
        </w:rPr>
      </w:pPr>
    </w:p>
    <w:p w14:paraId="6C917D43" w14:textId="77777777" w:rsidR="00904269" w:rsidRDefault="00904269" w:rsidP="00904269">
      <w:pPr>
        <w:spacing w:after="120"/>
        <w:rPr>
          <w:rFonts w:cstheme="minorHAnsi"/>
          <w:b/>
        </w:rPr>
      </w:pPr>
    </w:p>
    <w:p w14:paraId="08B62143" w14:textId="4B160608" w:rsidR="00083480" w:rsidRDefault="00F13B92" w:rsidP="00904269">
      <w:pPr>
        <w:spacing w:after="120"/>
        <w:rPr>
          <w:rFonts w:cstheme="minorHAnsi"/>
        </w:rPr>
      </w:pPr>
      <w:r>
        <w:rPr>
          <w:rFonts w:cstheme="minorHAnsi"/>
          <w:b/>
        </w:rPr>
        <w:t>5</w:t>
      </w:r>
      <w:r w:rsidR="00083480" w:rsidRPr="00BF1F3A">
        <w:rPr>
          <w:rFonts w:cstheme="minorHAnsi"/>
          <w:b/>
        </w:rPr>
        <w:t xml:space="preserve">.  </w:t>
      </w:r>
      <w:r w:rsidR="00083480">
        <w:rPr>
          <w:rFonts w:cstheme="minorHAnsi"/>
          <w:b/>
        </w:rPr>
        <w:t>Instructors in/Collaborators with</w:t>
      </w:r>
      <w:r w:rsidR="004F75B4">
        <w:rPr>
          <w:rFonts w:cstheme="minorHAnsi"/>
          <w:b/>
        </w:rPr>
        <w:t xml:space="preserve"> the program </w:t>
      </w:r>
      <w:r w:rsidR="00083480">
        <w:rPr>
          <w:rFonts w:cstheme="minorHAnsi"/>
          <w:b/>
        </w:rPr>
        <w:t>will include</w:t>
      </w:r>
      <w:r w:rsidR="00904269">
        <w:rPr>
          <w:rFonts w:cstheme="minorHAnsi"/>
          <w:b/>
        </w:rPr>
        <w:t xml:space="preserve"> (“group of interested faculty”).</w:t>
      </w:r>
    </w:p>
    <w:p w14:paraId="34F3F7F1" w14:textId="247F5845" w:rsidR="00904269" w:rsidRDefault="00904269" w:rsidP="00904269">
      <w:pPr>
        <w:spacing w:after="120"/>
        <w:rPr>
          <w:rFonts w:cstheme="minorHAnsi"/>
          <w:b/>
        </w:rPr>
      </w:pPr>
    </w:p>
    <w:p w14:paraId="446A1C51" w14:textId="77777777" w:rsidR="00904269" w:rsidRDefault="00904269" w:rsidP="00904269">
      <w:pPr>
        <w:spacing w:after="120"/>
        <w:rPr>
          <w:rFonts w:cstheme="minorHAnsi"/>
          <w:b/>
        </w:rPr>
      </w:pPr>
    </w:p>
    <w:p w14:paraId="3F720EBE" w14:textId="37CFAB86" w:rsidR="00083480" w:rsidRPr="00904269" w:rsidRDefault="00F13B92" w:rsidP="00904269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6</w:t>
      </w:r>
      <w:r w:rsidR="00083480">
        <w:rPr>
          <w:rFonts w:cstheme="minorHAnsi"/>
          <w:b/>
        </w:rPr>
        <w:t xml:space="preserve">. Please discuss any research opportunities that may or will arise from </w:t>
      </w:r>
      <w:r w:rsidR="004F75B4">
        <w:rPr>
          <w:rFonts w:cstheme="minorHAnsi"/>
          <w:b/>
        </w:rPr>
        <w:t>EDST involvement with the program</w:t>
      </w:r>
      <w:r w:rsidR="00083480">
        <w:rPr>
          <w:rFonts w:cstheme="minorHAnsi"/>
          <w:b/>
        </w:rPr>
        <w:t>.</w:t>
      </w:r>
    </w:p>
    <w:p w14:paraId="37723ACA" w14:textId="35CD33AE" w:rsidR="00904269" w:rsidRDefault="00904269" w:rsidP="00904269">
      <w:pPr>
        <w:spacing w:after="120"/>
        <w:rPr>
          <w:rFonts w:cstheme="minorHAnsi"/>
          <w:b/>
        </w:rPr>
      </w:pPr>
    </w:p>
    <w:p w14:paraId="1C447567" w14:textId="77777777" w:rsidR="00904269" w:rsidRDefault="00904269" w:rsidP="00904269">
      <w:pPr>
        <w:spacing w:after="120"/>
        <w:rPr>
          <w:rFonts w:cstheme="minorHAnsi"/>
          <w:b/>
        </w:rPr>
      </w:pPr>
    </w:p>
    <w:p w14:paraId="13F1C46F" w14:textId="0E7B9E3D" w:rsidR="00083480" w:rsidRPr="00904269" w:rsidRDefault="00F13B92" w:rsidP="00904269">
      <w:pPr>
        <w:spacing w:after="120"/>
        <w:rPr>
          <w:rFonts w:cstheme="minorHAnsi"/>
          <w:b/>
        </w:rPr>
      </w:pPr>
      <w:r w:rsidRPr="00F13B92">
        <w:rPr>
          <w:rFonts w:cstheme="minorHAnsi"/>
          <w:b/>
        </w:rPr>
        <w:t>7</w:t>
      </w:r>
      <w:r w:rsidR="00083480" w:rsidRPr="00F13B92">
        <w:rPr>
          <w:rFonts w:cstheme="minorHAnsi"/>
          <w:b/>
        </w:rPr>
        <w:t>.</w:t>
      </w:r>
      <w:r w:rsidR="00083480">
        <w:rPr>
          <w:rFonts w:cstheme="minorHAnsi"/>
          <w:b/>
        </w:rPr>
        <w:t xml:space="preserve"> Discuss opportunities for EDST graduate student involvement (GRA, TA, Instructors, research?)</w:t>
      </w:r>
      <w:r w:rsidR="00904269">
        <w:rPr>
          <w:rFonts w:cstheme="minorHAnsi"/>
          <w:b/>
        </w:rPr>
        <w:t>.</w:t>
      </w:r>
    </w:p>
    <w:p w14:paraId="03319103" w14:textId="0958A612" w:rsidR="00904269" w:rsidRDefault="00904269" w:rsidP="00083480">
      <w:pPr>
        <w:spacing w:after="120"/>
        <w:rPr>
          <w:rFonts w:cstheme="minorHAnsi"/>
          <w:b/>
        </w:rPr>
      </w:pPr>
    </w:p>
    <w:p w14:paraId="28E7B61D" w14:textId="77777777" w:rsidR="00904269" w:rsidRDefault="00904269" w:rsidP="00083480">
      <w:pPr>
        <w:spacing w:after="120"/>
        <w:rPr>
          <w:rFonts w:cstheme="minorHAnsi"/>
          <w:b/>
        </w:rPr>
      </w:pPr>
    </w:p>
    <w:p w14:paraId="3D0980E2" w14:textId="34462CCD" w:rsidR="00083480" w:rsidRPr="00BF1F3A" w:rsidRDefault="00F13B92" w:rsidP="0055034A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083480" w:rsidRPr="00BF1F3A">
        <w:rPr>
          <w:rFonts w:cstheme="minorHAnsi"/>
          <w:b/>
        </w:rPr>
        <w:t>.  Anticipated S</w:t>
      </w:r>
      <w:r w:rsidR="00083480">
        <w:rPr>
          <w:rFonts w:cstheme="minorHAnsi"/>
          <w:b/>
        </w:rPr>
        <w:t>tart Date</w:t>
      </w:r>
      <w:r w:rsidR="00904269">
        <w:rPr>
          <w:rFonts w:cstheme="minorHAnsi"/>
          <w:b/>
        </w:rPr>
        <w:t>.</w:t>
      </w:r>
      <w:r w:rsidR="00083480" w:rsidRPr="00BF1F3A">
        <w:rPr>
          <w:rFonts w:cstheme="minorHAnsi"/>
          <w:b/>
        </w:rPr>
        <w:br w:type="page"/>
      </w:r>
      <w:r>
        <w:rPr>
          <w:rFonts w:cstheme="minorHAnsi"/>
          <w:b/>
        </w:rPr>
        <w:lastRenderedPageBreak/>
        <w:t>9</w:t>
      </w:r>
      <w:r w:rsidR="00083480" w:rsidRPr="00BF1F3A">
        <w:rPr>
          <w:rFonts w:cstheme="minorHAnsi"/>
          <w:b/>
        </w:rPr>
        <w:t>.  Anticipated Program of Studies:</w:t>
      </w:r>
      <w:r w:rsidR="00083480">
        <w:rPr>
          <w:rFonts w:cstheme="minorHAnsi"/>
          <w:b/>
        </w:rPr>
        <w:t xml:space="preserve"> (please modify table as needed)</w:t>
      </w:r>
    </w:p>
    <w:tbl>
      <w:tblPr>
        <w:tblpPr w:leftFromText="180" w:rightFromText="180" w:horzAnchor="margin" w:tblpY="773"/>
        <w:tblW w:w="5183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821"/>
        <w:gridCol w:w="7115"/>
        <w:gridCol w:w="356"/>
      </w:tblGrid>
      <w:tr w:rsidR="00083480" w:rsidRPr="0055034A" w14:paraId="6F2FF9EC" w14:textId="77777777" w:rsidTr="00281D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F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23E89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F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5DED7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3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F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2CC7A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FE3"/>
          </w:tcPr>
          <w:p w14:paraId="0EEB2D27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83480" w:rsidRPr="0055034A" w14:paraId="1DCCA798" w14:textId="77777777" w:rsidTr="00281D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3BAE3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55C86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B5426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881CFB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3480" w:rsidRPr="0055034A" w14:paraId="4FF93ADA" w14:textId="77777777" w:rsidTr="00281D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646F6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D35EA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A3716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10221B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3480" w:rsidRPr="0055034A" w14:paraId="411D0FAC" w14:textId="77777777" w:rsidTr="00281D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39D41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49B35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31CDE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F7379B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3480" w:rsidRPr="0055034A" w14:paraId="69059766" w14:textId="77777777" w:rsidTr="00281D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F1593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1B64F1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C68C3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4BDA61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3480" w:rsidRPr="0055034A" w14:paraId="5CFBC2C5" w14:textId="77777777" w:rsidTr="00281D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F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E0DEE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F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93030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3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F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A7B46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FE3"/>
          </w:tcPr>
          <w:p w14:paraId="76D82476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83480" w:rsidRPr="0055034A" w14:paraId="62F49069" w14:textId="77777777" w:rsidTr="00281D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BDBCE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C3850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94408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63C11E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3480" w:rsidRPr="0055034A" w14:paraId="31CECBAC" w14:textId="77777777" w:rsidTr="00281D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4F74A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FC858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5B87A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12F85C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3480" w:rsidRPr="0055034A" w14:paraId="054CA26B" w14:textId="77777777" w:rsidTr="00281D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84EB0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FA188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4D851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EB6347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83480" w:rsidRPr="0055034A" w14:paraId="2C3A458E" w14:textId="77777777" w:rsidTr="00281D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F8DA7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A3501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05270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675BD2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3480" w:rsidRPr="0055034A" w14:paraId="0129EEFD" w14:textId="77777777" w:rsidTr="00281D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B3040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6F505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3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29EA1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sz w:val="20"/>
                <w:szCs w:val="20"/>
              </w:rPr>
              <w:t>+</w:t>
            </w:r>
          </w:p>
        </w:tc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EAADB" w:themeFill="accent1" w:themeFillTint="99"/>
          </w:tcPr>
          <w:p w14:paraId="7E7C49D8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3480" w:rsidRPr="0055034A" w14:paraId="48EC39DD" w14:textId="77777777" w:rsidTr="00281D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21BC7" w14:textId="77777777" w:rsidR="00083480" w:rsidRPr="0055034A" w:rsidRDefault="00083480" w:rsidP="0055034A">
            <w:pPr>
              <w:rPr>
                <w:rFonts w:eastAsia="Times New Roman" w:cstheme="minorHAnsi"/>
                <w:sz w:val="20"/>
                <w:szCs w:val="20"/>
              </w:rPr>
            </w:pPr>
            <w:r w:rsidRPr="0055034A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9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08027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13BD3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D0D79B" w14:textId="77777777" w:rsidR="00083480" w:rsidRPr="0055034A" w:rsidRDefault="00083480" w:rsidP="0055034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2974A3FC" w14:textId="23AF0703" w:rsidR="00083480" w:rsidRPr="00BF1F3A" w:rsidRDefault="00083480" w:rsidP="00083480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ind w:right="-7"/>
        <w:jc w:val="both"/>
        <w:rPr>
          <w:rFonts w:cstheme="minorHAnsi"/>
          <w:szCs w:val="36"/>
        </w:rPr>
      </w:pPr>
    </w:p>
    <w:p w14:paraId="7AC3C612" w14:textId="77777777" w:rsidR="00083480" w:rsidRPr="00BF1F3A" w:rsidRDefault="00083480" w:rsidP="00083480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ind w:right="-7"/>
        <w:jc w:val="both"/>
        <w:rPr>
          <w:rFonts w:cstheme="minorHAnsi"/>
          <w:sz w:val="21"/>
        </w:rPr>
      </w:pPr>
      <w:r>
        <w:rPr>
          <w:rFonts w:cstheme="minorHAnsi"/>
          <w:sz w:val="21"/>
        </w:rPr>
        <w:t>*denotes core</w:t>
      </w:r>
      <w:r w:rsidRPr="00BF1F3A">
        <w:rPr>
          <w:rFonts w:cstheme="minorHAnsi"/>
          <w:sz w:val="21"/>
        </w:rPr>
        <w:t xml:space="preserve"> course</w:t>
      </w:r>
    </w:p>
    <w:p w14:paraId="4392A457" w14:textId="77777777" w:rsidR="00083480" w:rsidRPr="00BF1F3A" w:rsidRDefault="00083480" w:rsidP="00083480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ind w:right="-7"/>
        <w:jc w:val="both"/>
        <w:rPr>
          <w:rFonts w:cstheme="minorHAnsi"/>
          <w:b/>
        </w:rPr>
      </w:pPr>
    </w:p>
    <w:p w14:paraId="6BB7648F" w14:textId="31D2D57E" w:rsidR="00083480" w:rsidRDefault="00F13B92" w:rsidP="00083480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ind w:right="-7"/>
        <w:jc w:val="both"/>
        <w:rPr>
          <w:rFonts w:cstheme="minorHAnsi"/>
          <w:b/>
        </w:rPr>
      </w:pPr>
      <w:r>
        <w:rPr>
          <w:rFonts w:cstheme="minorHAnsi"/>
          <w:b/>
        </w:rPr>
        <w:t>10</w:t>
      </w:r>
      <w:r w:rsidR="00083480">
        <w:rPr>
          <w:rFonts w:cstheme="minorHAnsi"/>
          <w:b/>
        </w:rPr>
        <w:t>. Please provide c</w:t>
      </w:r>
      <w:r w:rsidR="00083480" w:rsidRPr="00BF1F3A">
        <w:rPr>
          <w:rFonts w:cstheme="minorHAnsi"/>
          <w:b/>
        </w:rPr>
        <w:t xml:space="preserve">ourse </w:t>
      </w:r>
      <w:r w:rsidR="00083480">
        <w:rPr>
          <w:rFonts w:cstheme="minorHAnsi"/>
          <w:b/>
        </w:rPr>
        <w:t>d</w:t>
      </w:r>
      <w:r w:rsidR="00083480" w:rsidRPr="00BF1F3A">
        <w:rPr>
          <w:rFonts w:cstheme="minorHAnsi"/>
          <w:b/>
        </w:rPr>
        <w:t>escriptions</w:t>
      </w:r>
      <w:r w:rsidR="00083480">
        <w:rPr>
          <w:rFonts w:cstheme="minorHAnsi"/>
          <w:b/>
        </w:rPr>
        <w:t xml:space="preserve"> (Tentative or Confirmed)</w:t>
      </w:r>
      <w:r w:rsidR="0055034A">
        <w:rPr>
          <w:rFonts w:cstheme="minorHAnsi"/>
          <w:b/>
        </w:rPr>
        <w:t>. Append as additional documents.</w:t>
      </w:r>
    </w:p>
    <w:p w14:paraId="4BB98989" w14:textId="77777777" w:rsidR="0055034A" w:rsidRDefault="0055034A" w:rsidP="00083480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ind w:right="-7"/>
        <w:jc w:val="both"/>
        <w:rPr>
          <w:rFonts w:cstheme="minorHAnsi"/>
          <w:b/>
        </w:rPr>
      </w:pPr>
    </w:p>
    <w:p w14:paraId="51F06D8C" w14:textId="77777777" w:rsidR="00083480" w:rsidRPr="00D14C16" w:rsidRDefault="00F13B92" w:rsidP="00083480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ind w:right="-7"/>
        <w:jc w:val="both"/>
        <w:rPr>
          <w:rFonts w:cstheme="minorHAnsi"/>
          <w:b/>
        </w:rPr>
      </w:pPr>
      <w:r w:rsidRPr="00D14C16">
        <w:rPr>
          <w:rFonts w:cstheme="minorHAnsi"/>
          <w:b/>
        </w:rPr>
        <w:t>11</w:t>
      </w:r>
      <w:r w:rsidR="00083480" w:rsidRPr="00D14C16">
        <w:rPr>
          <w:rFonts w:cstheme="minorHAnsi"/>
          <w:b/>
        </w:rPr>
        <w:t>. Please discuss what commitments to community engag</w:t>
      </w:r>
      <w:r w:rsidR="004F75B4" w:rsidRPr="00D14C16">
        <w:rPr>
          <w:rFonts w:cstheme="minorHAnsi"/>
          <w:b/>
        </w:rPr>
        <w:t>ement are involved in the program</w:t>
      </w:r>
      <w:r w:rsidR="00083480" w:rsidRPr="00D14C16">
        <w:rPr>
          <w:rFonts w:cstheme="minorHAnsi"/>
          <w:b/>
        </w:rPr>
        <w:t xml:space="preserve"> design, delivery, etc. and how these will be met?</w:t>
      </w:r>
    </w:p>
    <w:p w14:paraId="2442FE20" w14:textId="00550610" w:rsidR="0055034A" w:rsidRDefault="0055034A" w:rsidP="00083480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ind w:right="-7"/>
        <w:jc w:val="both"/>
        <w:rPr>
          <w:rFonts w:cstheme="minorHAnsi"/>
          <w:b/>
        </w:rPr>
      </w:pPr>
    </w:p>
    <w:p w14:paraId="58D64BA2" w14:textId="77777777" w:rsidR="0055034A" w:rsidRPr="00D14C16" w:rsidRDefault="0055034A" w:rsidP="00083480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ind w:right="-7"/>
        <w:jc w:val="both"/>
        <w:rPr>
          <w:rFonts w:cstheme="minorHAnsi"/>
          <w:b/>
        </w:rPr>
      </w:pPr>
    </w:p>
    <w:p w14:paraId="239E6F6B" w14:textId="6A49EDEB" w:rsidR="00083480" w:rsidRDefault="00D14C16" w:rsidP="00D14C16">
      <w:pPr>
        <w:spacing w:before="100" w:beforeAutospacing="1" w:after="100" w:afterAutospacing="1" w:line="240" w:lineRule="atLeast"/>
        <w:ind w:right="-7"/>
        <w:jc w:val="both"/>
        <w:rPr>
          <w:rFonts w:eastAsia="Times New Roman" w:cstheme="minorHAnsi"/>
          <w:b/>
          <w:bCs/>
          <w:color w:val="000000"/>
        </w:rPr>
      </w:pPr>
      <w:r w:rsidRPr="00D14C16">
        <w:rPr>
          <w:rFonts w:cstheme="minorHAnsi"/>
          <w:b/>
        </w:rPr>
        <w:t xml:space="preserve">12. </w:t>
      </w:r>
      <w:r w:rsidRPr="00D14C16">
        <w:rPr>
          <w:rFonts w:eastAsia="Times New Roman" w:cstheme="minorHAnsi"/>
          <w:b/>
          <w:bCs/>
          <w:color w:val="000000"/>
        </w:rPr>
        <w:t xml:space="preserve">Please describe the tasks to be undertaken by the </w:t>
      </w:r>
      <w:r w:rsidR="0055034A">
        <w:rPr>
          <w:rFonts w:eastAsia="Times New Roman" w:cstheme="minorHAnsi"/>
          <w:b/>
          <w:bCs/>
          <w:color w:val="000000"/>
        </w:rPr>
        <w:t xml:space="preserve">program </w:t>
      </w:r>
      <w:r w:rsidRPr="00D14C16">
        <w:rPr>
          <w:rFonts w:eastAsia="Times New Roman" w:cstheme="minorHAnsi"/>
          <w:b/>
          <w:bCs/>
          <w:color w:val="000000"/>
        </w:rPr>
        <w:t xml:space="preserve">coordinator over the course of this </w:t>
      </w:r>
      <w:r>
        <w:rPr>
          <w:rFonts w:eastAsia="Times New Roman" w:cstheme="minorHAnsi"/>
          <w:b/>
          <w:bCs/>
          <w:color w:val="000000"/>
        </w:rPr>
        <w:t xml:space="preserve">program’s schedule </w:t>
      </w:r>
      <w:r w:rsidRPr="00D14C16">
        <w:rPr>
          <w:rFonts w:eastAsia="Times New Roman" w:cstheme="minorHAnsi"/>
          <w:b/>
          <w:bCs/>
          <w:color w:val="000000"/>
        </w:rPr>
        <w:t xml:space="preserve">(e.g., liaising with </w:t>
      </w:r>
      <w:r w:rsidR="00384E2E" w:rsidRPr="00D14C16">
        <w:rPr>
          <w:rFonts w:eastAsia="Times New Roman" w:cstheme="minorHAnsi"/>
          <w:b/>
          <w:bCs/>
          <w:color w:val="000000"/>
        </w:rPr>
        <w:t>on-site</w:t>
      </w:r>
      <w:r w:rsidRPr="00D14C16">
        <w:rPr>
          <w:rFonts w:eastAsia="Times New Roman" w:cstheme="minorHAnsi"/>
          <w:b/>
          <w:bCs/>
          <w:color w:val="000000"/>
        </w:rPr>
        <w:t> contacts arranging and monitoring of practicum placements; coordinating the supervision of graduating papers</w:t>
      </w:r>
      <w:r>
        <w:rPr>
          <w:rFonts w:eastAsia="Times New Roman" w:cstheme="minorHAnsi"/>
          <w:b/>
          <w:bCs/>
          <w:color w:val="000000"/>
        </w:rPr>
        <w:t>, and any related activity</w:t>
      </w:r>
      <w:r w:rsidRPr="00D14C16">
        <w:rPr>
          <w:rFonts w:eastAsia="Times New Roman" w:cstheme="minorHAnsi"/>
          <w:b/>
          <w:bCs/>
          <w:color w:val="000000"/>
        </w:rPr>
        <w:t>).</w:t>
      </w:r>
    </w:p>
    <w:p w14:paraId="66705D10" w14:textId="77777777" w:rsidR="0055034A" w:rsidRPr="00D14C16" w:rsidRDefault="0055034A" w:rsidP="00D14C16">
      <w:pPr>
        <w:spacing w:before="100" w:beforeAutospacing="1" w:after="100" w:afterAutospacing="1" w:line="240" w:lineRule="atLeast"/>
        <w:ind w:right="-7"/>
        <w:jc w:val="both"/>
        <w:rPr>
          <w:rFonts w:eastAsia="Times New Roman" w:cstheme="minorHAnsi"/>
          <w:color w:val="000000"/>
        </w:rPr>
      </w:pPr>
    </w:p>
    <w:p w14:paraId="10F4A149" w14:textId="4349AB1A" w:rsidR="00083480" w:rsidRDefault="00F13B92" w:rsidP="00D14C16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ind w:right="-7"/>
        <w:jc w:val="both"/>
        <w:rPr>
          <w:rFonts w:cstheme="minorHAnsi"/>
          <w:b/>
        </w:rPr>
      </w:pPr>
      <w:r w:rsidRPr="00D14C16">
        <w:rPr>
          <w:rFonts w:cstheme="minorHAnsi"/>
          <w:b/>
        </w:rPr>
        <w:t>1</w:t>
      </w:r>
      <w:r w:rsidR="0055034A">
        <w:rPr>
          <w:rFonts w:cstheme="minorHAnsi"/>
          <w:b/>
        </w:rPr>
        <w:t>3</w:t>
      </w:r>
      <w:r w:rsidR="00083480" w:rsidRPr="00D14C16">
        <w:rPr>
          <w:rFonts w:cstheme="minorHAnsi"/>
          <w:b/>
        </w:rPr>
        <w:t>. Please discuss how equity issues for instructors are taken up in th</w:t>
      </w:r>
      <w:r w:rsidR="004F75B4" w:rsidRPr="00D14C16">
        <w:rPr>
          <w:rFonts w:cstheme="minorHAnsi"/>
          <w:b/>
        </w:rPr>
        <w:t xml:space="preserve">e program </w:t>
      </w:r>
      <w:r w:rsidRPr="00D14C16">
        <w:rPr>
          <w:rFonts w:cstheme="minorHAnsi"/>
          <w:b/>
        </w:rPr>
        <w:t>design, delivery, etc.</w:t>
      </w:r>
      <w:r w:rsidR="00083480" w:rsidRPr="00D14C16">
        <w:rPr>
          <w:rFonts w:cstheme="minorHAnsi"/>
          <w:b/>
        </w:rPr>
        <w:t xml:space="preserve"> (</w:t>
      </w:r>
      <w:r w:rsidR="00384E2E" w:rsidRPr="00D14C16">
        <w:rPr>
          <w:rFonts w:cstheme="minorHAnsi"/>
          <w:b/>
        </w:rPr>
        <w:t>e.g.</w:t>
      </w:r>
      <w:r w:rsidR="00083480" w:rsidRPr="00D14C16">
        <w:rPr>
          <w:rFonts w:cstheme="minorHAnsi"/>
          <w:b/>
        </w:rPr>
        <w:t xml:space="preserve"> is long distance travelling involved? Other costs? Have existing workloads and commitments for instructors been t</w:t>
      </w:r>
      <w:r w:rsidR="004F75B4" w:rsidRPr="00D14C16">
        <w:rPr>
          <w:rFonts w:cstheme="minorHAnsi"/>
          <w:b/>
        </w:rPr>
        <w:t xml:space="preserve">aken into account in the program </w:t>
      </w:r>
      <w:r w:rsidR="00083480" w:rsidRPr="00D14C16">
        <w:rPr>
          <w:rFonts w:cstheme="minorHAnsi"/>
          <w:b/>
        </w:rPr>
        <w:t>proposal?)</w:t>
      </w:r>
    </w:p>
    <w:p w14:paraId="3B8AF2B0" w14:textId="7FAF293E" w:rsidR="00D14C16" w:rsidRDefault="00D14C16" w:rsidP="00D14C16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ind w:right="-7"/>
        <w:jc w:val="both"/>
        <w:rPr>
          <w:rFonts w:cstheme="minorHAnsi"/>
          <w:b/>
        </w:rPr>
      </w:pPr>
    </w:p>
    <w:p w14:paraId="33C6961A" w14:textId="77777777" w:rsidR="0055034A" w:rsidRPr="00D14C16" w:rsidRDefault="0055034A" w:rsidP="00D14C16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ind w:right="-7"/>
        <w:jc w:val="both"/>
        <w:rPr>
          <w:rFonts w:cstheme="minorHAnsi"/>
          <w:b/>
        </w:rPr>
      </w:pPr>
    </w:p>
    <w:p w14:paraId="3F78723D" w14:textId="072E8605" w:rsidR="0055034A" w:rsidRDefault="00F13B92" w:rsidP="0055034A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ind w:right="-7"/>
        <w:jc w:val="both"/>
        <w:rPr>
          <w:rFonts w:cstheme="minorHAnsi"/>
          <w:b/>
        </w:rPr>
      </w:pPr>
      <w:r w:rsidRPr="00D14C16">
        <w:rPr>
          <w:rFonts w:cstheme="minorHAnsi"/>
          <w:b/>
        </w:rPr>
        <w:t>1</w:t>
      </w:r>
      <w:r w:rsidR="0055034A">
        <w:rPr>
          <w:rFonts w:cstheme="minorHAnsi"/>
          <w:b/>
        </w:rPr>
        <w:t>4</w:t>
      </w:r>
      <w:r w:rsidR="00083480" w:rsidRPr="00D14C16">
        <w:rPr>
          <w:rFonts w:cstheme="minorHAnsi"/>
          <w:b/>
        </w:rPr>
        <w:t>. Please provide a tentative budget and discuss resource Implications</w:t>
      </w:r>
      <w:r w:rsidR="0055034A">
        <w:rPr>
          <w:rFonts w:cstheme="minorHAnsi"/>
          <w:b/>
        </w:rPr>
        <w:t xml:space="preserve">. </w:t>
      </w:r>
      <w:r w:rsidR="0055034A">
        <w:rPr>
          <w:rFonts w:cstheme="minorHAnsi"/>
          <w:b/>
        </w:rPr>
        <w:t>Append as additional document.</w:t>
      </w:r>
    </w:p>
    <w:p w14:paraId="70937D0F" w14:textId="77777777" w:rsidR="008A1F41" w:rsidRDefault="003D68F9"/>
    <w:sectPr w:rsidR="008A1F41" w:rsidSect="00101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92DA" w14:textId="77777777" w:rsidR="003D68F9" w:rsidRDefault="003D68F9">
      <w:r>
        <w:separator/>
      </w:r>
    </w:p>
  </w:endnote>
  <w:endnote w:type="continuationSeparator" w:id="0">
    <w:p w14:paraId="5D3F275D" w14:textId="77777777" w:rsidR="003D68F9" w:rsidRDefault="003D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7364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2D2D23" w14:textId="1720ED4D" w:rsidR="00710AF0" w:rsidRDefault="00710AF0" w:rsidP="00625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921CD0" w14:textId="77777777" w:rsidR="006A0E2B" w:rsidRDefault="003D68F9" w:rsidP="00710A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3314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B76F48" w14:textId="5844ADB2" w:rsidR="00710AF0" w:rsidRDefault="00710AF0" w:rsidP="00625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0C70CF2" w14:textId="77777777" w:rsidR="006A0E2B" w:rsidRDefault="003D68F9" w:rsidP="00710A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50E7" w14:textId="77777777" w:rsidR="006A0E2B" w:rsidRDefault="003D6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14F8F" w14:textId="77777777" w:rsidR="003D68F9" w:rsidRDefault="003D68F9">
      <w:r>
        <w:separator/>
      </w:r>
    </w:p>
  </w:footnote>
  <w:footnote w:type="continuationSeparator" w:id="0">
    <w:p w14:paraId="64A39531" w14:textId="77777777" w:rsidR="003D68F9" w:rsidRDefault="003D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2D52" w14:textId="77777777" w:rsidR="006A0E2B" w:rsidRDefault="003D6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6090" w14:textId="77777777" w:rsidR="006A0E2B" w:rsidRDefault="003D68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6810" w14:textId="77777777" w:rsidR="006A0E2B" w:rsidRDefault="003D6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A7B70"/>
    <w:multiLevelType w:val="hybridMultilevel"/>
    <w:tmpl w:val="F390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7"/>
    <w:rsid w:val="00004E9D"/>
    <w:rsid w:val="00007C0A"/>
    <w:rsid w:val="000364FF"/>
    <w:rsid w:val="00041897"/>
    <w:rsid w:val="00061C3C"/>
    <w:rsid w:val="00071B9E"/>
    <w:rsid w:val="00083480"/>
    <w:rsid w:val="000B690C"/>
    <w:rsid w:val="000B6C93"/>
    <w:rsid w:val="000C3778"/>
    <w:rsid w:val="000C49C2"/>
    <w:rsid w:val="000F20BE"/>
    <w:rsid w:val="00101402"/>
    <w:rsid w:val="00125F8F"/>
    <w:rsid w:val="00136837"/>
    <w:rsid w:val="00185A38"/>
    <w:rsid w:val="001A3AE0"/>
    <w:rsid w:val="001D7E4D"/>
    <w:rsid w:val="001E14AB"/>
    <w:rsid w:val="00291C60"/>
    <w:rsid w:val="002A6429"/>
    <w:rsid w:val="002E7A91"/>
    <w:rsid w:val="002F1705"/>
    <w:rsid w:val="002F3390"/>
    <w:rsid w:val="0032062A"/>
    <w:rsid w:val="003315E9"/>
    <w:rsid w:val="00342835"/>
    <w:rsid w:val="00343AFD"/>
    <w:rsid w:val="00384E2E"/>
    <w:rsid w:val="003D68F9"/>
    <w:rsid w:val="004244BA"/>
    <w:rsid w:val="00456BA0"/>
    <w:rsid w:val="00466218"/>
    <w:rsid w:val="00496208"/>
    <w:rsid w:val="004A0FC8"/>
    <w:rsid w:val="004C22D3"/>
    <w:rsid w:val="004F75B4"/>
    <w:rsid w:val="0051037B"/>
    <w:rsid w:val="0052590B"/>
    <w:rsid w:val="005340CC"/>
    <w:rsid w:val="00536ABC"/>
    <w:rsid w:val="0055034A"/>
    <w:rsid w:val="0055420F"/>
    <w:rsid w:val="005C37E7"/>
    <w:rsid w:val="006064A9"/>
    <w:rsid w:val="00641D40"/>
    <w:rsid w:val="006549A1"/>
    <w:rsid w:val="00664560"/>
    <w:rsid w:val="0067581C"/>
    <w:rsid w:val="00681852"/>
    <w:rsid w:val="006854FF"/>
    <w:rsid w:val="006A75B3"/>
    <w:rsid w:val="006B16C5"/>
    <w:rsid w:val="006E0404"/>
    <w:rsid w:val="00706458"/>
    <w:rsid w:val="00710AF0"/>
    <w:rsid w:val="00745F0E"/>
    <w:rsid w:val="00752B8B"/>
    <w:rsid w:val="00767DF5"/>
    <w:rsid w:val="007A018C"/>
    <w:rsid w:val="007A7CF2"/>
    <w:rsid w:val="007C1D2F"/>
    <w:rsid w:val="007D37E2"/>
    <w:rsid w:val="007E564F"/>
    <w:rsid w:val="00865D7C"/>
    <w:rsid w:val="00870086"/>
    <w:rsid w:val="00881DBC"/>
    <w:rsid w:val="008838C5"/>
    <w:rsid w:val="008E7647"/>
    <w:rsid w:val="008F3BB0"/>
    <w:rsid w:val="008F73E7"/>
    <w:rsid w:val="00904269"/>
    <w:rsid w:val="009324B6"/>
    <w:rsid w:val="00964645"/>
    <w:rsid w:val="0099054F"/>
    <w:rsid w:val="009A3302"/>
    <w:rsid w:val="009A36C3"/>
    <w:rsid w:val="009B39AE"/>
    <w:rsid w:val="009C4077"/>
    <w:rsid w:val="009E1344"/>
    <w:rsid w:val="00A0380F"/>
    <w:rsid w:val="00AA3762"/>
    <w:rsid w:val="00AA7858"/>
    <w:rsid w:val="00AD32EB"/>
    <w:rsid w:val="00B44CF8"/>
    <w:rsid w:val="00B626B6"/>
    <w:rsid w:val="00B829C0"/>
    <w:rsid w:val="00BB3A81"/>
    <w:rsid w:val="00C021B2"/>
    <w:rsid w:val="00C14DEB"/>
    <w:rsid w:val="00C217D7"/>
    <w:rsid w:val="00C2340F"/>
    <w:rsid w:val="00C72229"/>
    <w:rsid w:val="00D14C16"/>
    <w:rsid w:val="00D50E00"/>
    <w:rsid w:val="00D51302"/>
    <w:rsid w:val="00D64723"/>
    <w:rsid w:val="00E220C3"/>
    <w:rsid w:val="00EF7AFB"/>
    <w:rsid w:val="00F07589"/>
    <w:rsid w:val="00F13B92"/>
    <w:rsid w:val="00F214AF"/>
    <w:rsid w:val="00F84824"/>
    <w:rsid w:val="00FD391F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DFFB"/>
  <w15:chartTrackingRefBased/>
  <w15:docId w15:val="{866A2425-9562-2C41-A518-00D2C75B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D7"/>
  </w:style>
  <w:style w:type="paragraph" w:styleId="Footer">
    <w:name w:val="footer"/>
    <w:basedOn w:val="Normal"/>
    <w:link w:val="FooterChar"/>
    <w:uiPriority w:val="99"/>
    <w:unhideWhenUsed/>
    <w:rsid w:val="00C21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D7"/>
  </w:style>
  <w:style w:type="paragraph" w:styleId="BalloonText">
    <w:name w:val="Balloon Text"/>
    <w:basedOn w:val="Normal"/>
    <w:link w:val="BalloonTextChar"/>
    <w:uiPriority w:val="99"/>
    <w:semiHidden/>
    <w:unhideWhenUsed/>
    <w:rsid w:val="003428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3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2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835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56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2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65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038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9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André Elias Mazawi</cp:lastModifiedBy>
  <cp:revision>4</cp:revision>
  <dcterms:created xsi:type="dcterms:W3CDTF">2020-03-05T20:51:00Z</dcterms:created>
  <dcterms:modified xsi:type="dcterms:W3CDTF">2020-03-05T20:53:00Z</dcterms:modified>
</cp:coreProperties>
</file>